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3B8" w:rsidRDefault="008153B8" w:rsidP="00852CC4">
      <w:pPr>
        <w:jc w:val="center"/>
        <w:rPr>
          <w:rFonts w:ascii="標楷體" w:eastAsia="標楷體" w:hAnsi="標楷體"/>
          <w:spacing w:val="-12"/>
          <w:sz w:val="40"/>
          <w:szCs w:val="40"/>
        </w:rPr>
      </w:pPr>
      <w:r w:rsidRPr="001E5FA0">
        <w:rPr>
          <w:rFonts w:ascii="標楷體" w:eastAsia="標楷體" w:hAnsi="標楷體" w:hint="eastAsia"/>
          <w:spacing w:val="-12"/>
          <w:sz w:val="40"/>
          <w:szCs w:val="40"/>
        </w:rPr>
        <w:t>公務人員</w:t>
      </w:r>
      <w:r w:rsidR="004210FB">
        <w:rPr>
          <w:rFonts w:ascii="標楷體" w:eastAsia="標楷體" w:hAnsi="標楷體" w:hint="eastAsia"/>
          <w:spacing w:val="-12"/>
          <w:sz w:val="40"/>
          <w:szCs w:val="40"/>
        </w:rPr>
        <w:t>請假規則第三條、第十條、第十九條</w:t>
      </w:r>
      <w:r w:rsidRPr="001E5FA0">
        <w:rPr>
          <w:rFonts w:ascii="標楷體" w:eastAsia="標楷體" w:hAnsi="標楷體" w:hint="eastAsia"/>
          <w:spacing w:val="-12"/>
          <w:sz w:val="40"/>
          <w:szCs w:val="40"/>
        </w:rPr>
        <w:t>修正</w:t>
      </w:r>
      <w:r>
        <w:rPr>
          <w:rFonts w:ascii="標楷體" w:eastAsia="標楷體" w:hAnsi="標楷體" w:hint="eastAsia"/>
          <w:spacing w:val="-12"/>
          <w:sz w:val="40"/>
          <w:szCs w:val="40"/>
        </w:rPr>
        <w:t>條文</w:t>
      </w:r>
    </w:p>
    <w:p w:rsidR="008153B8" w:rsidRDefault="008153B8" w:rsidP="00852CC4">
      <w:pPr>
        <w:rPr>
          <w:rFonts w:ascii="標楷體" w:eastAsia="標楷體" w:hAnsi="標楷體"/>
          <w:spacing w:val="-12"/>
          <w:sz w:val="40"/>
          <w:szCs w:val="40"/>
        </w:rPr>
      </w:pPr>
    </w:p>
    <w:p w:rsidR="004210FB" w:rsidRDefault="008153B8" w:rsidP="004210FB">
      <w:pPr>
        <w:spacing w:line="440" w:lineRule="exact"/>
        <w:ind w:left="1619" w:hangingChars="506" w:hanging="1619"/>
        <w:jc w:val="both"/>
        <w:rPr>
          <w:rFonts w:ascii="標楷體" w:eastAsia="標楷體" w:hAnsi="標楷體"/>
          <w:sz w:val="32"/>
          <w:szCs w:val="32"/>
        </w:rPr>
      </w:pPr>
      <w:r w:rsidRPr="00852CC4">
        <w:rPr>
          <w:rFonts w:ascii="標楷體" w:eastAsia="標楷體" w:hAnsi="標楷體" w:cs="標楷體" w:hint="eastAsia"/>
          <w:sz w:val="32"/>
          <w:szCs w:val="32"/>
        </w:rPr>
        <w:t>第</w:t>
      </w:r>
      <w:r>
        <w:rPr>
          <w:rFonts w:ascii="標楷體" w:eastAsia="標楷體" w:hAnsi="標楷體" w:cs="標楷體" w:hint="eastAsia"/>
          <w:sz w:val="32"/>
          <w:szCs w:val="32"/>
        </w:rPr>
        <w:t xml:space="preserve">　</w:t>
      </w:r>
      <w:r w:rsidRPr="00852CC4">
        <w:rPr>
          <w:rFonts w:ascii="標楷體" w:eastAsia="標楷體" w:hAnsi="標楷體" w:cs="標楷體" w:hint="eastAsia"/>
          <w:sz w:val="32"/>
          <w:szCs w:val="32"/>
        </w:rPr>
        <w:t>三</w:t>
      </w:r>
      <w:r>
        <w:rPr>
          <w:rFonts w:ascii="標楷體" w:eastAsia="標楷體" w:hAnsi="標楷體" w:cs="標楷體" w:hint="eastAsia"/>
          <w:sz w:val="32"/>
          <w:szCs w:val="32"/>
        </w:rPr>
        <w:t xml:space="preserve">　</w:t>
      </w:r>
      <w:r w:rsidRPr="00852CC4">
        <w:rPr>
          <w:rFonts w:ascii="標楷體" w:eastAsia="標楷體" w:hAnsi="標楷體" w:cs="標楷體" w:hint="eastAsia"/>
          <w:sz w:val="32"/>
          <w:szCs w:val="32"/>
        </w:rPr>
        <w:t>條</w:t>
      </w:r>
      <w:r>
        <w:rPr>
          <w:rFonts w:ascii="標楷體" w:eastAsia="標楷體" w:hAnsi="標楷體" w:cs="標楷體" w:hint="eastAsia"/>
          <w:sz w:val="32"/>
          <w:szCs w:val="32"/>
        </w:rPr>
        <w:t xml:space="preserve">　　</w:t>
      </w:r>
      <w:r w:rsidR="00742CD4" w:rsidRPr="00742CD4">
        <w:rPr>
          <w:rFonts w:ascii="標楷體" w:eastAsia="標楷體" w:hAnsi="標楷體" w:cs="標楷體" w:hint="eastAsia"/>
          <w:sz w:val="32"/>
          <w:szCs w:val="32"/>
        </w:rPr>
        <w:t>公務人員之請假，依下列規定：</w:t>
      </w:r>
    </w:p>
    <w:p w:rsid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因事得請事假，每年准給七日。其家庭成員預防接種、發生嚴重之疾病或其他重大事故須親自照顧時，得請家庭照顧假，每年准給七日，其請假日數併入事假計算。超過規定日數之事假，應按日扣除俸（薪）給。</w:t>
      </w:r>
    </w:p>
    <w:p w:rsid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疾病或安胎必須治療或休養者，得請病假，每年准給二十八日。女性公務人員因生理日致工作有困難者，每月得請生理假一日，全年請假日數未逾三日，不併入病假計算，其餘日數併入病假計算。其超過者，以事假抵銷。因重大傷病非短時間所能治癒或因安胎確有需要請假休養者，於依規定核給之病假、事假及休假均請畢後，經機關長官核准得延長之。其延長期間自第一次請延長病假之首日起算，二年內合併計算不得超過一年。但銷假上班一年以上者，其延長病假得重行起算。</w:t>
      </w:r>
    </w:p>
    <w:p w:rsid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因結婚者，給婚假十四日，應自結婚之日前十日起三個月內請畢。但因特殊事由經機關長官核准者，得於一年內請畢。</w:t>
      </w:r>
    </w:p>
    <w:p w:rsid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懷孕者，於分娩前，給產前假八日，得分次申請，不得保留至分娩後；於分娩後，給娩假四十二日；懷孕滿二十週以上流產者，給流產假四十二日；懷孕十二週以上未滿二十週流產者，給流產假二十一日；懷孕未滿十二週流產者，給流產假十四日。娩假及流產假應一次請畢。分娩前已請畢產前假者，</w:t>
      </w:r>
      <w:r w:rsidRPr="004210FB">
        <w:rPr>
          <w:rFonts w:ascii="標楷體" w:eastAsia="標楷體" w:hAnsi="標楷體" w:cs="標楷體" w:hint="eastAsia"/>
          <w:sz w:val="32"/>
          <w:szCs w:val="32"/>
        </w:rPr>
        <w:lastRenderedPageBreak/>
        <w:t>必要時得於分娩前先申請部分娩假，並以十二日為限，不限一次請畢；流產者，其流產假應扣除先請之娩假日數。</w:t>
      </w:r>
    </w:p>
    <w:p w:rsidR="004210FB" w:rsidRP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因配偶分娩或懷孕滿二十週以上流產者，給陪產假五日，得分次申請。但應於配偶分娩日或流產日前後合計十五日（含例假日）內請畢。</w:t>
      </w:r>
    </w:p>
    <w:p w:rsidR="004210FB" w:rsidRPr="004210FB" w:rsidRDefault="00130CC2" w:rsidP="00130CC2">
      <w:pPr>
        <w:numPr>
          <w:ilvl w:val="0"/>
          <w:numId w:val="3"/>
        </w:numPr>
        <w:spacing w:line="440" w:lineRule="exact"/>
        <w:jc w:val="both"/>
        <w:rPr>
          <w:rFonts w:ascii="標楷體" w:eastAsia="標楷體" w:hAnsi="標楷體" w:cs="標楷體"/>
          <w:sz w:val="32"/>
          <w:szCs w:val="32"/>
        </w:rPr>
      </w:pPr>
      <w:r w:rsidRPr="00130CC2">
        <w:rPr>
          <w:rFonts w:ascii="標楷體" w:eastAsia="標楷體" w:hAnsi="標楷體" w:cs="標楷體" w:hint="eastAsia"/>
          <w:sz w:val="32"/>
          <w:szCs w:val="32"/>
        </w:rPr>
        <w:t>因父母、配偶死亡者，給喪假十五日；繼父母、配偶之父母、子女死亡者，給喪假十日；曾祖父母、祖父母、配偶之祖父母、配偶之繼父母、兄弟姐妹死亡者，給喪假五日。除繼父母、配偶之繼父母以公務人員或其配偶於成年前受該繼父母扶養或於該繼父母死亡前仍與共居者為限外，其餘喪假應以原因發生時所存在之天然血親或擬制血親為限。喪假得分次申請。但應於死亡之日起百日內請畢。</w:t>
      </w:r>
      <w:bookmarkStart w:id="0" w:name="_GoBack"/>
      <w:bookmarkEnd w:id="0"/>
    </w:p>
    <w:p w:rsidR="004210FB" w:rsidRDefault="004210FB" w:rsidP="004210FB">
      <w:pPr>
        <w:numPr>
          <w:ilvl w:val="0"/>
          <w:numId w:val="3"/>
        </w:numPr>
        <w:spacing w:line="440" w:lineRule="exact"/>
        <w:jc w:val="both"/>
        <w:rPr>
          <w:rFonts w:ascii="標楷體" w:eastAsia="標楷體" w:hAnsi="標楷體" w:cs="標楷體"/>
          <w:sz w:val="32"/>
          <w:szCs w:val="32"/>
        </w:rPr>
      </w:pPr>
      <w:r w:rsidRPr="004210FB">
        <w:rPr>
          <w:rFonts w:ascii="標楷體" w:eastAsia="標楷體" w:hAnsi="標楷體" w:cs="標楷體" w:hint="eastAsia"/>
          <w:sz w:val="32"/>
          <w:szCs w:val="32"/>
        </w:rPr>
        <w:t>因捐贈骨髓或器官者，視實際需要給假。</w:t>
      </w:r>
    </w:p>
    <w:p w:rsidR="004210FB" w:rsidRDefault="004210FB" w:rsidP="00A96DF4">
      <w:pPr>
        <w:tabs>
          <w:tab w:val="left" w:pos="2268"/>
        </w:tabs>
        <w:spacing w:line="440" w:lineRule="exact"/>
        <w:ind w:leftChars="650" w:left="1560"/>
        <w:jc w:val="both"/>
        <w:rPr>
          <w:rFonts w:ascii="標楷體" w:eastAsia="標楷體" w:hAnsi="標楷體" w:cs="標楷體"/>
          <w:sz w:val="32"/>
          <w:szCs w:val="32"/>
        </w:rPr>
      </w:pPr>
      <w:r w:rsidRPr="00852CC4">
        <w:rPr>
          <w:rFonts w:ascii="標楷體" w:eastAsia="標楷體" w:hAnsi="標楷體" w:cs="標楷體" w:hint="eastAsia"/>
          <w:sz w:val="32"/>
          <w:szCs w:val="32"/>
        </w:rPr>
        <w:t xml:space="preserve">　　</w:t>
      </w:r>
      <w:r w:rsidRPr="004210FB">
        <w:rPr>
          <w:rFonts w:ascii="標楷體" w:eastAsia="標楷體" w:hAnsi="標楷體" w:cs="標楷體" w:hint="eastAsia"/>
          <w:sz w:val="32"/>
          <w:szCs w:val="32"/>
        </w:rPr>
        <w:t>前項第一款所定准給事假日數，任職未滿一年者，依在職月數比例計算後未滿半日者，以半日計；超過半日未滿一日者，以一日計。</w:t>
      </w:r>
    </w:p>
    <w:p w:rsidR="008153B8" w:rsidRDefault="004210FB" w:rsidP="00A96DF4">
      <w:pPr>
        <w:spacing w:line="440" w:lineRule="exact"/>
        <w:ind w:leftChars="650" w:left="1560"/>
        <w:jc w:val="both"/>
        <w:rPr>
          <w:rFonts w:ascii="標楷體" w:eastAsia="標楷體" w:hAnsi="標楷體" w:cs="標楷體"/>
          <w:sz w:val="32"/>
          <w:szCs w:val="32"/>
        </w:rPr>
      </w:pPr>
      <w:r w:rsidRPr="00852CC4">
        <w:rPr>
          <w:rFonts w:ascii="標楷體" w:eastAsia="標楷體" w:hAnsi="標楷體" w:cs="標楷體" w:hint="eastAsia"/>
          <w:sz w:val="32"/>
          <w:szCs w:val="32"/>
        </w:rPr>
        <w:t xml:space="preserve">　　</w:t>
      </w:r>
      <w:r w:rsidRPr="004210FB">
        <w:rPr>
          <w:rFonts w:ascii="標楷體" w:eastAsia="標楷體" w:hAnsi="標楷體" w:cs="標楷體" w:hint="eastAsia"/>
          <w:sz w:val="32"/>
          <w:szCs w:val="32"/>
        </w:rPr>
        <w:t>第一項所定事假、家庭照顧假、病假、生理假、婚假、產前假、陪產假、喪假，得以時計。</w:t>
      </w:r>
    </w:p>
    <w:p w:rsidR="008153B8" w:rsidRDefault="008153B8" w:rsidP="00B16FDF">
      <w:pPr>
        <w:spacing w:line="440" w:lineRule="exact"/>
        <w:ind w:left="1581" w:hangingChars="494" w:hanging="1581"/>
        <w:jc w:val="both"/>
        <w:rPr>
          <w:rFonts w:ascii="標楷體" w:eastAsia="標楷體" w:hAnsi="標楷體" w:cs="標楷體"/>
          <w:sz w:val="32"/>
          <w:szCs w:val="32"/>
        </w:rPr>
      </w:pPr>
      <w:r w:rsidRPr="00525512">
        <w:rPr>
          <w:rFonts w:ascii="標楷體" w:eastAsia="標楷體" w:hAnsi="標楷體" w:cs="標楷體" w:hint="eastAsia"/>
          <w:sz w:val="32"/>
          <w:szCs w:val="32"/>
        </w:rPr>
        <w:t>第</w:t>
      </w:r>
      <w:r>
        <w:rPr>
          <w:rFonts w:ascii="標楷體" w:eastAsia="標楷體" w:hAnsi="標楷體" w:cs="標楷體" w:hint="eastAsia"/>
          <w:sz w:val="32"/>
          <w:szCs w:val="32"/>
        </w:rPr>
        <w:t xml:space="preserve">　</w:t>
      </w:r>
      <w:r w:rsidR="004210FB">
        <w:rPr>
          <w:rFonts w:ascii="標楷體" w:eastAsia="標楷體" w:hAnsi="標楷體" w:cs="標楷體" w:hint="eastAsia"/>
          <w:sz w:val="32"/>
          <w:szCs w:val="32"/>
        </w:rPr>
        <w:t>十</w:t>
      </w:r>
      <w:r>
        <w:rPr>
          <w:rFonts w:ascii="標楷體" w:eastAsia="標楷體" w:hAnsi="標楷體" w:cs="標楷體" w:hint="eastAsia"/>
          <w:sz w:val="32"/>
          <w:szCs w:val="32"/>
        </w:rPr>
        <w:t xml:space="preserve">　</w:t>
      </w:r>
      <w:r w:rsidRPr="00525512">
        <w:rPr>
          <w:rFonts w:ascii="標楷體" w:eastAsia="標楷體" w:hAnsi="標楷體" w:cs="標楷體" w:hint="eastAsia"/>
          <w:sz w:val="32"/>
          <w:szCs w:val="32"/>
        </w:rPr>
        <w:t>條</w:t>
      </w:r>
      <w:r>
        <w:rPr>
          <w:rFonts w:ascii="標楷體" w:eastAsia="標楷體" w:hAnsi="標楷體" w:cs="標楷體" w:hint="eastAsia"/>
          <w:sz w:val="32"/>
          <w:szCs w:val="32"/>
        </w:rPr>
        <w:t xml:space="preserve">　　</w:t>
      </w:r>
      <w:r w:rsidR="004210FB" w:rsidRPr="004210FB">
        <w:rPr>
          <w:rFonts w:ascii="標楷體" w:eastAsia="標楷體" w:hAnsi="標楷體" w:cs="標楷體" w:hint="eastAsia"/>
          <w:sz w:val="32"/>
          <w:szCs w:val="32"/>
        </w:rPr>
        <w:t>公務人員符合第七條休假規定者，除業務性質特殊之機關外，每年至少應休假十四日，未達休假十四日資格者，應全部休畢；休假得以時計。休假並得酌予發給休假補助。確因公務或業務需要經機關長官核准無法休假時，酌予獎勵。</w:t>
      </w:r>
    </w:p>
    <w:p w:rsidR="008153B8" w:rsidRDefault="004210FB" w:rsidP="004210FB">
      <w:pPr>
        <w:spacing w:line="440" w:lineRule="exact"/>
        <w:ind w:leftChars="659" w:left="1582" w:firstLineChars="205" w:firstLine="656"/>
        <w:jc w:val="both"/>
        <w:rPr>
          <w:rFonts w:ascii="標楷體" w:eastAsia="標楷體" w:hAnsi="標楷體" w:cs="標楷體"/>
          <w:sz w:val="32"/>
          <w:szCs w:val="32"/>
        </w:rPr>
      </w:pPr>
      <w:r w:rsidRPr="004210FB">
        <w:rPr>
          <w:rFonts w:ascii="標楷體" w:eastAsia="標楷體" w:hAnsi="標楷體" w:cs="標楷體" w:hint="eastAsia"/>
          <w:sz w:val="32"/>
          <w:szCs w:val="32"/>
        </w:rPr>
        <w:t>前項應休假日數以外之休假，當年未休假且未予獎勵者，得累積保留至第三年實施。但於第三年仍未休畢者，視為放棄。</w:t>
      </w:r>
    </w:p>
    <w:p w:rsidR="008153B8" w:rsidRDefault="004210FB" w:rsidP="004210FB">
      <w:pPr>
        <w:spacing w:line="440" w:lineRule="exact"/>
        <w:ind w:leftChars="659" w:left="1582" w:firstLineChars="205" w:firstLine="656"/>
        <w:jc w:val="both"/>
        <w:rPr>
          <w:rFonts w:ascii="標楷體" w:eastAsia="標楷體" w:hAnsi="標楷體" w:cs="標楷體"/>
          <w:sz w:val="32"/>
          <w:szCs w:val="32"/>
        </w:rPr>
      </w:pPr>
      <w:r w:rsidRPr="004210FB">
        <w:rPr>
          <w:rFonts w:ascii="標楷體" w:eastAsia="標楷體" w:hAnsi="標楷體" w:cs="標楷體" w:hint="eastAsia"/>
          <w:sz w:val="32"/>
          <w:szCs w:val="32"/>
        </w:rPr>
        <w:lastRenderedPageBreak/>
        <w:t>政務人員及民選地方行政機關首長未具休假十四日資格者，每年應給休假十四日。但任職前在同一年度內已核給休假者應予扣除。其未休畢者，視為放棄。</w:t>
      </w:r>
    </w:p>
    <w:p w:rsidR="008153B8" w:rsidRDefault="004210FB" w:rsidP="004210FB">
      <w:pPr>
        <w:spacing w:line="440" w:lineRule="exact"/>
        <w:ind w:leftChars="659" w:left="1582" w:firstLineChars="205" w:firstLine="656"/>
        <w:jc w:val="both"/>
        <w:rPr>
          <w:rFonts w:ascii="標楷體" w:eastAsia="標楷體" w:hAnsi="標楷體" w:cs="標楷體"/>
          <w:sz w:val="32"/>
          <w:szCs w:val="32"/>
        </w:rPr>
      </w:pPr>
      <w:r w:rsidRPr="004210FB">
        <w:rPr>
          <w:rFonts w:ascii="標楷體" w:eastAsia="標楷體" w:hAnsi="標楷體" w:cs="標楷體" w:hint="eastAsia"/>
          <w:sz w:val="32"/>
          <w:szCs w:val="32"/>
        </w:rPr>
        <w:t>第一項休假補助之最高標準，由行政院人事行政總處會商銓敘部定之。</w:t>
      </w:r>
    </w:p>
    <w:p w:rsidR="008153B8" w:rsidRDefault="008153B8" w:rsidP="00C07A73">
      <w:pPr>
        <w:spacing w:line="440" w:lineRule="exact"/>
        <w:ind w:left="1619" w:hangingChars="506" w:hanging="1619"/>
        <w:jc w:val="both"/>
        <w:rPr>
          <w:rFonts w:ascii="標楷體" w:eastAsia="標楷體" w:hAnsi="標楷體" w:cs="標楷體"/>
          <w:sz w:val="32"/>
          <w:szCs w:val="32"/>
        </w:rPr>
      </w:pPr>
      <w:r w:rsidRPr="00525512">
        <w:rPr>
          <w:rFonts w:ascii="標楷體" w:eastAsia="標楷體" w:hAnsi="標楷體" w:cs="標楷體" w:hint="eastAsia"/>
          <w:sz w:val="32"/>
          <w:szCs w:val="32"/>
        </w:rPr>
        <w:t>第</w:t>
      </w:r>
      <w:r w:rsidRPr="00B16FDF">
        <w:rPr>
          <w:rFonts w:ascii="標楷體" w:eastAsia="標楷體" w:hAnsi="標楷體" w:cs="標楷體"/>
          <w:sz w:val="16"/>
          <w:szCs w:val="16"/>
        </w:rPr>
        <w:t xml:space="preserve"> </w:t>
      </w:r>
      <w:r w:rsidRPr="00525512">
        <w:rPr>
          <w:rFonts w:ascii="標楷體" w:eastAsia="標楷體" w:hAnsi="標楷體" w:cs="標楷體" w:hint="eastAsia"/>
          <w:sz w:val="32"/>
          <w:szCs w:val="32"/>
        </w:rPr>
        <w:t>十</w:t>
      </w:r>
      <w:r w:rsidR="004210FB">
        <w:rPr>
          <w:rFonts w:ascii="標楷體" w:eastAsia="標楷體" w:hAnsi="標楷體" w:cs="標楷體" w:hint="eastAsia"/>
          <w:sz w:val="32"/>
          <w:szCs w:val="32"/>
        </w:rPr>
        <w:t>九</w:t>
      </w:r>
      <w:r w:rsidRPr="00B16FDF">
        <w:rPr>
          <w:rFonts w:ascii="標楷體" w:eastAsia="標楷體" w:hAnsi="標楷體" w:cs="標楷體"/>
          <w:sz w:val="16"/>
          <w:szCs w:val="16"/>
        </w:rPr>
        <w:t xml:space="preserve"> </w:t>
      </w:r>
      <w:r w:rsidRPr="00525512">
        <w:rPr>
          <w:rFonts w:ascii="標楷體" w:eastAsia="標楷體" w:hAnsi="標楷體" w:cs="標楷體" w:hint="eastAsia"/>
          <w:sz w:val="32"/>
          <w:szCs w:val="32"/>
        </w:rPr>
        <w:t>條</w:t>
      </w:r>
      <w:r>
        <w:rPr>
          <w:rFonts w:ascii="標楷體" w:eastAsia="標楷體" w:hAnsi="標楷體" w:cs="標楷體" w:hint="eastAsia"/>
          <w:sz w:val="32"/>
          <w:szCs w:val="32"/>
        </w:rPr>
        <w:t xml:space="preserve">　　</w:t>
      </w:r>
      <w:r w:rsidR="004210FB" w:rsidRPr="004210FB">
        <w:rPr>
          <w:rFonts w:ascii="標楷體" w:eastAsia="標楷體" w:hAnsi="標楷體" w:cs="標楷體" w:hint="eastAsia"/>
          <w:sz w:val="32"/>
          <w:szCs w:val="32"/>
        </w:rPr>
        <w:t>本規則自發布日施行。</w:t>
      </w:r>
    </w:p>
    <w:p w:rsidR="008153B8" w:rsidRPr="00852CC4" w:rsidRDefault="008153B8" w:rsidP="008D0B0A">
      <w:pPr>
        <w:spacing w:line="440" w:lineRule="exact"/>
        <w:ind w:left="1200" w:hangingChars="375" w:hanging="1200"/>
        <w:jc w:val="both"/>
        <w:rPr>
          <w:rFonts w:ascii="標楷體" w:eastAsia="標楷體" w:hAnsi="標楷體" w:cs="標楷體"/>
          <w:sz w:val="32"/>
          <w:szCs w:val="32"/>
        </w:rPr>
      </w:pPr>
    </w:p>
    <w:sectPr w:rsidR="008153B8" w:rsidRPr="00852CC4" w:rsidSect="00852CC4">
      <w:footerReference w:type="default" r:id="rId9"/>
      <w:pgSz w:w="11906" w:h="16838"/>
      <w:pgMar w:top="1440" w:right="1418" w:bottom="1440"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0E9" w:rsidRDefault="00E000E9" w:rsidP="00877E24">
      <w:r>
        <w:separator/>
      </w:r>
    </w:p>
  </w:endnote>
  <w:endnote w:type="continuationSeparator" w:id="0">
    <w:p w:rsidR="00E000E9" w:rsidRDefault="00E000E9" w:rsidP="0087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3B8" w:rsidRDefault="00375485">
    <w:pPr>
      <w:pStyle w:val="a6"/>
      <w:jc w:val="center"/>
    </w:pPr>
    <w:r>
      <w:fldChar w:fldCharType="begin"/>
    </w:r>
    <w:r>
      <w:instrText>PAGE   \* MERGEFORMAT</w:instrText>
    </w:r>
    <w:r>
      <w:fldChar w:fldCharType="separate"/>
    </w:r>
    <w:r w:rsidR="00130CC2" w:rsidRPr="00130CC2">
      <w:rPr>
        <w:noProof/>
        <w:lang w:val="zh-TW"/>
      </w:rPr>
      <w:t>1</w:t>
    </w:r>
    <w:r>
      <w:rPr>
        <w:noProof/>
        <w:lang w:val="zh-TW"/>
      </w:rPr>
      <w:fldChar w:fldCharType="end"/>
    </w:r>
  </w:p>
  <w:p w:rsidR="008153B8" w:rsidRDefault="008153B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0E9" w:rsidRDefault="00E000E9" w:rsidP="00877E24">
      <w:r>
        <w:separator/>
      </w:r>
    </w:p>
  </w:footnote>
  <w:footnote w:type="continuationSeparator" w:id="0">
    <w:p w:rsidR="00E000E9" w:rsidRDefault="00E000E9" w:rsidP="00877E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64DFA"/>
    <w:multiLevelType w:val="hybridMultilevel"/>
    <w:tmpl w:val="B7584C06"/>
    <w:lvl w:ilvl="0" w:tplc="D4C40A2A">
      <w:start w:val="1"/>
      <w:numFmt w:val="taiwaneseCountingThousand"/>
      <w:lvlText w:val="%1、"/>
      <w:lvlJc w:val="left"/>
      <w:pPr>
        <w:ind w:left="600" w:hanging="360"/>
      </w:pPr>
      <w:rPr>
        <w:rFonts w:cs="Times New Roman" w:hint="default"/>
        <w:color w:val="auto"/>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1">
    <w:nsid w:val="1E1829D2"/>
    <w:multiLevelType w:val="hybridMultilevel"/>
    <w:tmpl w:val="C0306A80"/>
    <w:lvl w:ilvl="0" w:tplc="D47C20D4">
      <w:start w:val="1"/>
      <w:numFmt w:val="taiwaneseCountingThousand"/>
      <w:lvlText w:val="%1、"/>
      <w:lvlJc w:val="left"/>
      <w:pPr>
        <w:ind w:left="3031" w:hanging="720"/>
      </w:pPr>
      <w:rPr>
        <w:rFonts w:hint="default"/>
      </w:rPr>
    </w:lvl>
    <w:lvl w:ilvl="1" w:tplc="04090019" w:tentative="1">
      <w:start w:val="1"/>
      <w:numFmt w:val="ideographTraditional"/>
      <w:lvlText w:val="%2、"/>
      <w:lvlJc w:val="left"/>
      <w:pPr>
        <w:ind w:left="3271" w:hanging="480"/>
      </w:pPr>
    </w:lvl>
    <w:lvl w:ilvl="2" w:tplc="0409001B" w:tentative="1">
      <w:start w:val="1"/>
      <w:numFmt w:val="lowerRoman"/>
      <w:lvlText w:val="%3."/>
      <w:lvlJc w:val="right"/>
      <w:pPr>
        <w:ind w:left="3751" w:hanging="480"/>
      </w:pPr>
    </w:lvl>
    <w:lvl w:ilvl="3" w:tplc="0409000F" w:tentative="1">
      <w:start w:val="1"/>
      <w:numFmt w:val="decimal"/>
      <w:lvlText w:val="%4."/>
      <w:lvlJc w:val="left"/>
      <w:pPr>
        <w:ind w:left="4231" w:hanging="480"/>
      </w:pPr>
    </w:lvl>
    <w:lvl w:ilvl="4" w:tplc="04090019" w:tentative="1">
      <w:start w:val="1"/>
      <w:numFmt w:val="ideographTraditional"/>
      <w:lvlText w:val="%5、"/>
      <w:lvlJc w:val="left"/>
      <w:pPr>
        <w:ind w:left="4711" w:hanging="480"/>
      </w:pPr>
    </w:lvl>
    <w:lvl w:ilvl="5" w:tplc="0409001B" w:tentative="1">
      <w:start w:val="1"/>
      <w:numFmt w:val="lowerRoman"/>
      <w:lvlText w:val="%6."/>
      <w:lvlJc w:val="right"/>
      <w:pPr>
        <w:ind w:left="5191" w:hanging="480"/>
      </w:pPr>
    </w:lvl>
    <w:lvl w:ilvl="6" w:tplc="0409000F" w:tentative="1">
      <w:start w:val="1"/>
      <w:numFmt w:val="decimal"/>
      <w:lvlText w:val="%7."/>
      <w:lvlJc w:val="left"/>
      <w:pPr>
        <w:ind w:left="5671" w:hanging="480"/>
      </w:pPr>
    </w:lvl>
    <w:lvl w:ilvl="7" w:tplc="04090019" w:tentative="1">
      <w:start w:val="1"/>
      <w:numFmt w:val="ideographTraditional"/>
      <w:lvlText w:val="%8、"/>
      <w:lvlJc w:val="left"/>
      <w:pPr>
        <w:ind w:left="6151" w:hanging="480"/>
      </w:pPr>
    </w:lvl>
    <w:lvl w:ilvl="8" w:tplc="0409001B" w:tentative="1">
      <w:start w:val="1"/>
      <w:numFmt w:val="lowerRoman"/>
      <w:lvlText w:val="%9."/>
      <w:lvlJc w:val="right"/>
      <w:pPr>
        <w:ind w:left="6631" w:hanging="480"/>
      </w:pPr>
    </w:lvl>
  </w:abstractNum>
  <w:abstractNum w:abstractNumId="2">
    <w:nsid w:val="4E956AC0"/>
    <w:multiLevelType w:val="multilevel"/>
    <w:tmpl w:val="80A6FBBA"/>
    <w:lvl w:ilvl="0">
      <w:start w:val="1"/>
      <w:numFmt w:val="taiwaneseCountingThousand"/>
      <w:suff w:val="nothing"/>
      <w:lvlText w:val="%1、"/>
      <w:lvlJc w:val="left"/>
      <w:pPr>
        <w:ind w:left="714" w:hanging="476"/>
      </w:pPr>
      <w:rPr>
        <w:rFonts w:cs="Times New Roman"/>
      </w:rPr>
    </w:lvl>
    <w:lvl w:ilvl="1">
      <w:start w:val="1"/>
      <w:numFmt w:val="taiwaneseCountingThousand"/>
      <w:suff w:val="nothing"/>
      <w:lvlText w:val="(%2)"/>
      <w:lvlJc w:val="left"/>
      <w:pPr>
        <w:ind w:left="1077" w:hanging="363"/>
      </w:pPr>
      <w:rPr>
        <w:rFonts w:cs="Times New Roman"/>
      </w:rPr>
    </w:lvl>
    <w:lvl w:ilvl="2">
      <w:start w:val="1"/>
      <w:numFmt w:val="decimalFullWidth"/>
      <w:suff w:val="nothing"/>
      <w:lvlText w:val="%3、"/>
      <w:lvlJc w:val="left"/>
      <w:pPr>
        <w:ind w:left="1429" w:hanging="477"/>
      </w:pPr>
      <w:rPr>
        <w:rFonts w:cs="Times New Roman"/>
      </w:rPr>
    </w:lvl>
    <w:lvl w:ilvl="3">
      <w:start w:val="1"/>
      <w:numFmt w:val="decimalFullWidth"/>
      <w:suff w:val="nothing"/>
      <w:lvlText w:val="(%4)"/>
      <w:lvlJc w:val="left"/>
      <w:pPr>
        <w:ind w:left="1905" w:hanging="714"/>
      </w:pPr>
      <w:rPr>
        <w:rFonts w:cs="Times New Roman"/>
      </w:rPr>
    </w:lvl>
    <w:lvl w:ilvl="4">
      <w:start w:val="1"/>
      <w:numFmt w:val="ideographTraditional"/>
      <w:suff w:val="nothing"/>
      <w:lvlText w:val="%5、"/>
      <w:lvlJc w:val="left"/>
      <w:pPr>
        <w:ind w:left="2143" w:hanging="476"/>
      </w:pPr>
      <w:rPr>
        <w:rFonts w:cs="Times New Roman"/>
      </w:rPr>
    </w:lvl>
    <w:lvl w:ilvl="5">
      <w:start w:val="1"/>
      <w:numFmt w:val="ideographTraditional"/>
      <w:suff w:val="nothing"/>
      <w:lvlText w:val="(%6)"/>
      <w:lvlJc w:val="left"/>
      <w:pPr>
        <w:ind w:left="2619" w:hanging="714"/>
      </w:pPr>
      <w:rPr>
        <w:rFonts w:cs="Times New Roman"/>
      </w:rPr>
    </w:lvl>
    <w:lvl w:ilvl="6">
      <w:start w:val="1"/>
      <w:numFmt w:val="ideographZodiac"/>
      <w:suff w:val="nothing"/>
      <w:lvlText w:val="%7、"/>
      <w:lvlJc w:val="left"/>
      <w:pPr>
        <w:ind w:left="2857" w:hanging="476"/>
      </w:pPr>
      <w:rPr>
        <w:rFonts w:cs="Times New Roman"/>
      </w:rPr>
    </w:lvl>
    <w:lvl w:ilvl="7">
      <w:start w:val="1"/>
      <w:numFmt w:val="ideographZodiac"/>
      <w:suff w:val="nothing"/>
      <w:lvlText w:val="(%8)"/>
      <w:lvlJc w:val="left"/>
      <w:pPr>
        <w:ind w:left="3334" w:hanging="715"/>
      </w:pPr>
      <w:rPr>
        <w:rFonts w:cs="Times New Roman"/>
      </w:rPr>
    </w:lvl>
    <w:lvl w:ilvl="8">
      <w:start w:val="1"/>
      <w:numFmt w:val="decimalFullWidth"/>
      <w:suff w:val="nothing"/>
      <w:lvlText w:val="%9）"/>
      <w:lvlJc w:val="left"/>
      <w:pPr>
        <w:ind w:left="3572" w:hanging="477"/>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oNotTrackMoves/>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2CC4"/>
    <w:rsid w:val="00130CC2"/>
    <w:rsid w:val="00197533"/>
    <w:rsid w:val="001E5DF6"/>
    <w:rsid w:val="001E5FA0"/>
    <w:rsid w:val="00375485"/>
    <w:rsid w:val="003A3A1A"/>
    <w:rsid w:val="003A600B"/>
    <w:rsid w:val="004210FB"/>
    <w:rsid w:val="00525512"/>
    <w:rsid w:val="005D29B4"/>
    <w:rsid w:val="00636C4B"/>
    <w:rsid w:val="007310FB"/>
    <w:rsid w:val="00742CD4"/>
    <w:rsid w:val="007B0DCC"/>
    <w:rsid w:val="008153B8"/>
    <w:rsid w:val="00852CC4"/>
    <w:rsid w:val="00877E24"/>
    <w:rsid w:val="008D0B0A"/>
    <w:rsid w:val="00932A2E"/>
    <w:rsid w:val="009E2EB0"/>
    <w:rsid w:val="00A96DF4"/>
    <w:rsid w:val="00AD6887"/>
    <w:rsid w:val="00B16FDF"/>
    <w:rsid w:val="00BA793F"/>
    <w:rsid w:val="00BC6668"/>
    <w:rsid w:val="00C07A73"/>
    <w:rsid w:val="00D52EA1"/>
    <w:rsid w:val="00E000E9"/>
    <w:rsid w:val="00E16C9D"/>
    <w:rsid w:val="00E23C0A"/>
    <w:rsid w:val="00E81DB4"/>
    <w:rsid w:val="00F250D0"/>
    <w:rsid w:val="00F6129E"/>
    <w:rsid w:val="00F82363"/>
    <w:rsid w:val="00FB3D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A1"/>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36C4B"/>
    <w:pPr>
      <w:ind w:leftChars="200" w:left="480"/>
    </w:pPr>
  </w:style>
  <w:style w:type="paragraph" w:styleId="a4">
    <w:name w:val="header"/>
    <w:basedOn w:val="a"/>
    <w:link w:val="a5"/>
    <w:uiPriority w:val="99"/>
    <w:rsid w:val="00877E24"/>
    <w:pPr>
      <w:tabs>
        <w:tab w:val="center" w:pos="4153"/>
        <w:tab w:val="right" w:pos="8306"/>
      </w:tabs>
      <w:snapToGrid w:val="0"/>
    </w:pPr>
    <w:rPr>
      <w:sz w:val="20"/>
      <w:szCs w:val="20"/>
    </w:rPr>
  </w:style>
  <w:style w:type="character" w:customStyle="1" w:styleId="a5">
    <w:name w:val="頁首 字元"/>
    <w:link w:val="a4"/>
    <w:uiPriority w:val="99"/>
    <w:locked/>
    <w:rsid w:val="00877E24"/>
    <w:rPr>
      <w:rFonts w:cs="Times New Roman"/>
      <w:sz w:val="20"/>
      <w:szCs w:val="20"/>
    </w:rPr>
  </w:style>
  <w:style w:type="paragraph" w:styleId="a6">
    <w:name w:val="footer"/>
    <w:basedOn w:val="a"/>
    <w:link w:val="a7"/>
    <w:uiPriority w:val="99"/>
    <w:rsid w:val="00877E24"/>
    <w:pPr>
      <w:tabs>
        <w:tab w:val="center" w:pos="4153"/>
        <w:tab w:val="right" w:pos="8306"/>
      </w:tabs>
      <w:snapToGrid w:val="0"/>
    </w:pPr>
    <w:rPr>
      <w:sz w:val="20"/>
      <w:szCs w:val="20"/>
    </w:rPr>
  </w:style>
  <w:style w:type="character" w:customStyle="1" w:styleId="a7">
    <w:name w:val="頁尾 字元"/>
    <w:link w:val="a6"/>
    <w:uiPriority w:val="99"/>
    <w:locked/>
    <w:rsid w:val="00877E24"/>
    <w:rPr>
      <w:rFonts w:cs="Times New Roman"/>
      <w:sz w:val="20"/>
      <w:szCs w:val="20"/>
    </w:rPr>
  </w:style>
  <w:style w:type="paragraph" w:styleId="a8">
    <w:name w:val="Balloon Text"/>
    <w:basedOn w:val="a"/>
    <w:link w:val="a9"/>
    <w:uiPriority w:val="99"/>
    <w:semiHidden/>
    <w:rsid w:val="00F82363"/>
    <w:rPr>
      <w:rFonts w:ascii="Arial" w:hAnsi="Arial"/>
      <w:sz w:val="18"/>
      <w:szCs w:val="18"/>
    </w:rPr>
  </w:style>
  <w:style w:type="character" w:customStyle="1" w:styleId="a9">
    <w:name w:val="註解方塊文字 字元"/>
    <w:link w:val="a8"/>
    <w:uiPriority w:val="99"/>
    <w:semiHidden/>
    <w:locked/>
    <w:rPr>
      <w:rFonts w:ascii="Cambria" w:eastAsia="新細明體" w:hAnsi="Cambria"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50C2B-34FB-4F0E-A271-47F06123E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公務人員考績法施行細則部分條文修正條文</dc:title>
  <dc:subject/>
  <dc:creator>陳珮婷</dc:creator>
  <cp:keywords/>
  <dc:description/>
  <cp:lastModifiedBy>吳以喬</cp:lastModifiedBy>
  <cp:revision>9</cp:revision>
  <cp:lastPrinted>2015-12-29T01:41:00Z</cp:lastPrinted>
  <dcterms:created xsi:type="dcterms:W3CDTF">2015-12-28T07:33:00Z</dcterms:created>
  <dcterms:modified xsi:type="dcterms:W3CDTF">2018-10-29T02:51:00Z</dcterms:modified>
</cp:coreProperties>
</file>